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0ABD8207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D50BE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7F6F91">
        <w:rPr>
          <w:rFonts w:asciiTheme="minorHAnsi" w:hAnsiTheme="minorHAnsi" w:cstheme="minorHAnsi"/>
          <w:color w:val="004D74"/>
          <w:sz w:val="28"/>
          <w:szCs w:val="28"/>
        </w:rPr>
        <w:t>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F6F91">
        <w:rPr>
          <w:rFonts w:asciiTheme="minorHAnsi" w:hAnsiTheme="minorHAnsi" w:cstheme="minorHAnsi"/>
          <w:color w:val="004D74"/>
          <w:sz w:val="28"/>
          <w:szCs w:val="28"/>
        </w:rPr>
        <w:t>SEPIA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D1E317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724D4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7F6F91">
        <w:rPr>
          <w:rFonts w:cs="Arial"/>
          <w:szCs w:val="20"/>
        </w:rPr>
        <w:t>oxid</w:t>
      </w:r>
      <w:r w:rsidR="006930AB">
        <w:rPr>
          <w:rFonts w:cs="Arial"/>
          <w:szCs w:val="20"/>
        </w:rPr>
        <w:t>e</w:t>
      </w:r>
      <w:r w:rsidR="008E1A7E">
        <w:rPr>
          <w:rFonts w:cs="Arial"/>
          <w:szCs w:val="20"/>
        </w:rPr>
        <w:t>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22550FB3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814495">
        <w:rPr>
          <w:rFonts w:cs="Arial"/>
          <w:szCs w:val="20"/>
        </w:rPr>
        <w:t xml:space="preserve">licht </w:t>
      </w:r>
      <w:bookmarkStart w:id="0" w:name="_GoBack"/>
      <w:bookmarkEnd w:id="0"/>
      <w:r w:rsidRPr="00C66D78">
        <w:rPr>
          <w:rFonts w:cs="Arial"/>
          <w:szCs w:val="20"/>
        </w:rPr>
        <w:t>genuanceerd</w:t>
      </w:r>
    </w:p>
    <w:p w14:paraId="7E3ECFB4" w14:textId="319A3F8A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D50BE">
        <w:rPr>
          <w:rFonts w:cs="Arial"/>
          <w:szCs w:val="20"/>
        </w:rPr>
        <w:t>rood</w:t>
      </w:r>
      <w:r w:rsidR="00C724D4">
        <w:rPr>
          <w:rFonts w:cs="Arial"/>
          <w:szCs w:val="20"/>
        </w:rPr>
        <w:t>bruin</w:t>
      </w:r>
    </w:p>
    <w:p w14:paraId="54AA7122" w14:textId="36EC14B6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7F6F91">
        <w:rPr>
          <w:rFonts w:cs="Arial"/>
          <w:szCs w:val="20"/>
        </w:rPr>
        <w:t>uniform auberginekleurig</w:t>
      </w:r>
    </w:p>
    <w:p w14:paraId="42F7217A" w14:textId="02B4935B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44B7D19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8E1A7E">
        <w:rPr>
          <w:rFonts w:cs="Arial"/>
          <w:szCs w:val="20"/>
        </w:rPr>
        <w:t>1</w:t>
      </w:r>
      <w:r w:rsidR="007F6F9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4422BD7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>: 5</w:t>
      </w:r>
      <w:r w:rsidR="007F6F9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7F6F9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859CC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15AEB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C1F48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15AEB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55119D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15AEB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EB3D6B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15AEB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15AEB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930AB"/>
    <w:rsid w:val="006A6A55"/>
    <w:rsid w:val="006C395E"/>
    <w:rsid w:val="00713403"/>
    <w:rsid w:val="00714FA5"/>
    <w:rsid w:val="00744FBC"/>
    <w:rsid w:val="007B693F"/>
    <w:rsid w:val="007C6538"/>
    <w:rsid w:val="007F3ED7"/>
    <w:rsid w:val="007F6F91"/>
    <w:rsid w:val="00814495"/>
    <w:rsid w:val="00815AEB"/>
    <w:rsid w:val="00897611"/>
    <w:rsid w:val="008A33DE"/>
    <w:rsid w:val="008E1A7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39A68446-9D55-4FE2-BF56-ED2C2E0522B9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fc3d6be4-e267-4d4d-83f3-2f1cf3abea2f"/>
    <ds:schemaRef ds:uri="http://purl.org/dc/elements/1.1/"/>
    <ds:schemaRef ds:uri="http://purl.org/dc/terms/"/>
    <ds:schemaRef ds:uri="def7ec89-e9a7-4ad0-828a-4e7598e1c6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2019-03-19T14:02:00Z</dcterms:created>
  <dcterms:modified xsi:type="dcterms:W3CDTF">2019-03-20T12:54:00Z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