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5A10" w14:textId="25882F7C" w:rsidR="00BD5705"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85319C">
        <w:rPr>
          <w:rFonts w:asciiTheme="minorHAnsi" w:hAnsiTheme="minorHAnsi" w:cstheme="minorHAnsi"/>
          <w:color w:val="004D74"/>
          <w:sz w:val="28"/>
          <w:szCs w:val="28"/>
          <w:lang w:val="en-US"/>
        </w:rPr>
        <w:t>52</w:t>
      </w:r>
      <w:r w:rsidRPr="00690FD3">
        <w:rPr>
          <w:rFonts w:asciiTheme="minorHAnsi" w:hAnsiTheme="minorHAnsi" w:cstheme="minorHAnsi"/>
          <w:color w:val="004D74"/>
          <w:sz w:val="28"/>
          <w:szCs w:val="28"/>
          <w:lang w:val="en-US"/>
        </w:rPr>
        <w:t xml:space="preserve">. </w:t>
      </w:r>
      <w:r w:rsidR="0085319C">
        <w:rPr>
          <w:rFonts w:asciiTheme="minorHAnsi" w:hAnsiTheme="minorHAnsi" w:cstheme="minorHAnsi"/>
          <w:color w:val="004D74"/>
          <w:sz w:val="28"/>
          <w:szCs w:val="28"/>
          <w:lang w:val="en-US"/>
        </w:rPr>
        <w:t>TOSCANE</w:t>
      </w:r>
      <w:bookmarkStart w:id="0" w:name="_Hlk10022365"/>
    </w:p>
    <w:p w14:paraId="08E7ABF3" w14:textId="00CE2A8F" w:rsidR="00B60A97" w:rsidRPr="00F144D2" w:rsidRDefault="00F144D2" w:rsidP="004E5A61">
      <w:pPr>
        <w:rPr>
          <w:rFonts w:cs="Arial"/>
          <w:i/>
          <w:szCs w:val="20"/>
          <w:lang w:val="en-US"/>
        </w:rPr>
      </w:pPr>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699601" w:rsidR="00C66D78" w:rsidRDefault="00F2007B" w:rsidP="00C66D78">
      <w:pPr>
        <w:rPr>
          <w:rFonts w:cs="Arial"/>
          <w:szCs w:val="20"/>
          <w:lang w:val="fr-FR"/>
        </w:rPr>
      </w:pPr>
      <w:r w:rsidRPr="005819CB">
        <w:rPr>
          <w:rFonts w:cs="Arial"/>
          <w:szCs w:val="20"/>
          <w:lang w:val="fr-FR"/>
        </w:rPr>
        <w:t xml:space="preserve">Ce produit naturel est composé </w:t>
      </w:r>
      <w:proofErr w:type="spellStart"/>
      <w:r w:rsidRPr="005819CB">
        <w:rPr>
          <w:rFonts w:cs="Arial"/>
          <w:szCs w:val="20"/>
          <w:lang w:val="fr-FR"/>
        </w:rPr>
        <w:t>d</w:t>
      </w:r>
      <w:r w:rsidR="004C28BB">
        <w:rPr>
          <w:rFonts w:cs="Arial"/>
          <w:szCs w:val="20"/>
          <w:lang w:val="fr-FR"/>
        </w:rPr>
        <w:t>un</w:t>
      </w:r>
      <w:proofErr w:type="spellEnd"/>
      <w:r w:rsidR="004C28BB">
        <w:rPr>
          <w:rFonts w:cs="Arial"/>
          <w:szCs w:val="20"/>
          <w:lang w:val="fr-FR"/>
        </w:rPr>
        <w:t xml:space="preserve"> mélange de différents types d</w:t>
      </w:r>
      <w:r w:rsidRPr="005819CB">
        <w:rPr>
          <w:rFonts w:cs="Arial"/>
          <w:szCs w:val="20"/>
          <w:lang w:val="fr-FR"/>
        </w:rPr>
        <w:t>’argile</w:t>
      </w:r>
      <w:r w:rsidR="004C28BB">
        <w:rPr>
          <w:rFonts w:cs="Arial"/>
          <w:szCs w:val="20"/>
          <w:lang w:val="fr-FR"/>
        </w:rPr>
        <w:t>, e.a.</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4C28BB">
        <w:rPr>
          <w:rFonts w:cs="Arial"/>
          <w:szCs w:val="20"/>
          <w:lang w:val="fr-FR"/>
        </w:rPr>
        <w:t>.</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bookmarkStart w:id="1" w:name="_GoBack"/>
      <w:bookmarkEnd w:id="1"/>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4E19252E" w:rsidR="00C66D78" w:rsidRPr="004C28BB" w:rsidRDefault="00A1742A" w:rsidP="00BD1E45">
      <w:pPr>
        <w:rPr>
          <w:rFonts w:cs="Arial"/>
          <w:szCs w:val="20"/>
          <w:lang w:val="fr-FR"/>
        </w:rPr>
      </w:pPr>
      <w:proofErr w:type="gramStart"/>
      <w:r w:rsidRPr="004C28BB">
        <w:rPr>
          <w:rFonts w:cs="Arial"/>
          <w:szCs w:val="20"/>
          <w:lang w:val="fr-FR"/>
        </w:rPr>
        <w:t>Couleur</w:t>
      </w:r>
      <w:r w:rsidR="00C66D78" w:rsidRPr="004C28BB">
        <w:rPr>
          <w:rFonts w:cs="Arial"/>
          <w:szCs w:val="20"/>
          <w:lang w:val="fr-FR"/>
        </w:rPr>
        <w:t>:</w:t>
      </w:r>
      <w:proofErr w:type="gramEnd"/>
      <w:r w:rsidR="00BD1E45" w:rsidRPr="004C28BB">
        <w:rPr>
          <w:rFonts w:cs="Arial"/>
          <w:szCs w:val="20"/>
          <w:lang w:val="fr-FR"/>
        </w:rPr>
        <w:t xml:space="preserve">   - </w:t>
      </w:r>
      <w:r w:rsidRPr="004C28BB">
        <w:rPr>
          <w:rFonts w:cs="Arial"/>
          <w:szCs w:val="20"/>
          <w:lang w:val="fr-FR"/>
        </w:rPr>
        <w:t>Couleur principale</w:t>
      </w:r>
      <w:r w:rsidR="006F1F0C">
        <w:rPr>
          <w:rFonts w:cs="Arial"/>
          <w:szCs w:val="20"/>
          <w:lang w:val="fr-FR"/>
        </w:rPr>
        <w:t> : jaune</w:t>
      </w:r>
    </w:p>
    <w:p w14:paraId="54AA7122" w14:textId="5FF03521" w:rsidR="007B693F" w:rsidRPr="004C28BB" w:rsidRDefault="00BD1E45" w:rsidP="00C66D78">
      <w:pPr>
        <w:rPr>
          <w:rFonts w:cs="Arial"/>
          <w:szCs w:val="20"/>
          <w:lang w:val="fr-FR"/>
        </w:rPr>
      </w:pPr>
      <w:r w:rsidRPr="004C28BB">
        <w:rPr>
          <w:rFonts w:cs="Arial"/>
          <w:szCs w:val="20"/>
          <w:lang w:val="fr-FR"/>
        </w:rPr>
        <w:t xml:space="preserve">            </w:t>
      </w:r>
      <w:r w:rsidR="00A1742A" w:rsidRPr="004C28BB">
        <w:rPr>
          <w:rFonts w:cs="Arial"/>
          <w:szCs w:val="20"/>
          <w:lang w:val="fr-FR"/>
        </w:rPr>
        <w:t xml:space="preserve">    </w:t>
      </w:r>
      <w:r w:rsidR="00F87F9A" w:rsidRPr="004C28BB">
        <w:rPr>
          <w:rFonts w:cs="Arial"/>
          <w:szCs w:val="20"/>
          <w:lang w:val="fr-FR"/>
        </w:rPr>
        <w:t xml:space="preserve"> </w:t>
      </w:r>
      <w:r w:rsidRPr="004C28BB">
        <w:rPr>
          <w:rFonts w:cs="Arial"/>
          <w:szCs w:val="20"/>
          <w:lang w:val="fr-FR"/>
        </w:rPr>
        <w:t xml:space="preserve">- </w:t>
      </w:r>
      <w:r w:rsidR="00A1742A" w:rsidRPr="004C28BB">
        <w:rPr>
          <w:rFonts w:cs="Arial"/>
          <w:szCs w:val="20"/>
          <w:lang w:val="fr-FR"/>
        </w:rPr>
        <w:t>Description</w:t>
      </w:r>
      <w:r w:rsidR="006F1F0C">
        <w:rPr>
          <w:rFonts w:cs="Arial"/>
          <w:szCs w:val="20"/>
          <w:lang w:val="fr-FR"/>
        </w:rPr>
        <w:t xml:space="preserve"> </w:t>
      </w:r>
      <w:r w:rsidR="00C66D78" w:rsidRPr="004C28BB">
        <w:rPr>
          <w:rFonts w:cs="Arial"/>
          <w:szCs w:val="20"/>
          <w:lang w:val="fr-FR"/>
        </w:rPr>
        <w:t xml:space="preserve">: </w:t>
      </w:r>
      <w:r w:rsidR="006F1F0C">
        <w:rPr>
          <w:rFonts w:cs="Arial"/>
          <w:szCs w:val="20"/>
          <w:lang w:val="fr-FR"/>
        </w:rPr>
        <w:t xml:space="preserve">légères nuances dans l’ensemble de la teinte jaune à </w:t>
      </w:r>
      <w:r w:rsidR="0085319C">
        <w:rPr>
          <w:rFonts w:cs="Arial"/>
          <w:szCs w:val="20"/>
          <w:lang w:val="fr-FR"/>
        </w:rPr>
        <w:t>brun</w:t>
      </w:r>
      <w:r w:rsidR="006F1F0C">
        <w:rPr>
          <w:rFonts w:cs="Arial"/>
          <w:szCs w:val="20"/>
          <w:lang w:val="fr-FR"/>
        </w:rPr>
        <w:t xml:space="preserve"> clair</w:t>
      </w:r>
      <w:r w:rsidR="0085319C">
        <w:rPr>
          <w:rFonts w:cs="Arial"/>
          <w:szCs w:val="20"/>
          <w:lang w:val="fr-FR"/>
        </w:rPr>
        <w:t xml:space="preserve"> et gris</w:t>
      </w:r>
    </w:p>
    <w:p w14:paraId="401EA02E" w14:textId="22AE0502" w:rsidR="006C395E" w:rsidRPr="00BD5705" w:rsidRDefault="00C66D78" w:rsidP="006B1E28">
      <w:pPr>
        <w:spacing w:line="240" w:lineRule="auto"/>
        <w:rPr>
          <w:rFonts w:cs="Arial"/>
          <w:szCs w:val="20"/>
          <w:lang w:val="fr-FR"/>
        </w:rPr>
      </w:pPr>
      <w:r w:rsidRPr="004C28BB">
        <w:rPr>
          <w:rFonts w:cs="Arial"/>
          <w:szCs w:val="20"/>
          <w:lang w:val="fr-FR"/>
        </w:rPr>
        <w:t xml:space="preserve">Format </w:t>
      </w:r>
      <w:r w:rsidR="00A1742A" w:rsidRPr="004C28BB">
        <w:rPr>
          <w:rFonts w:cs="Arial"/>
          <w:szCs w:val="20"/>
          <w:lang w:val="fr-FR"/>
        </w:rPr>
        <w:t>de la brique</w:t>
      </w:r>
      <w:r w:rsidR="00F87F9A" w:rsidRPr="004C28BB">
        <w:rPr>
          <w:rFonts w:cs="Arial"/>
          <w:szCs w:val="20"/>
          <w:lang w:val="fr-FR"/>
        </w:rPr>
        <w:t xml:space="preserve"> (</w:t>
      </w:r>
      <w:proofErr w:type="spellStart"/>
      <w:r w:rsidR="00F87F9A" w:rsidRPr="004C28BB">
        <w:rPr>
          <w:rFonts w:cs="Arial"/>
          <w:szCs w:val="20"/>
          <w:lang w:val="fr-FR"/>
        </w:rPr>
        <w:t>Lx</w:t>
      </w:r>
      <w:r w:rsidR="00A1742A" w:rsidRPr="004C28BB">
        <w:rPr>
          <w:rFonts w:cs="Arial"/>
          <w:szCs w:val="20"/>
          <w:lang w:val="fr-FR"/>
        </w:rPr>
        <w:t>P</w:t>
      </w:r>
      <w:r w:rsidR="00F87F9A" w:rsidRPr="004C28BB">
        <w:rPr>
          <w:rFonts w:cs="Arial"/>
          <w:szCs w:val="20"/>
          <w:lang w:val="fr-FR"/>
        </w:rPr>
        <w:t>xH</w:t>
      </w:r>
      <w:proofErr w:type="spellEnd"/>
      <w:proofErr w:type="gramStart"/>
      <w:r w:rsidR="00F87F9A" w:rsidRPr="004C28BB">
        <w:rPr>
          <w:rFonts w:cs="Arial"/>
          <w:szCs w:val="20"/>
          <w:lang w:val="fr-FR"/>
        </w:rPr>
        <w:t>)</w:t>
      </w:r>
      <w:r w:rsidRPr="004C28BB">
        <w:rPr>
          <w:rFonts w:cs="Arial"/>
          <w:szCs w:val="20"/>
          <w:lang w:val="fr-FR"/>
        </w:rPr>
        <w:t>:</w:t>
      </w:r>
      <w:proofErr w:type="gramEnd"/>
      <w:r w:rsidRPr="004C28BB">
        <w:rPr>
          <w:rFonts w:cs="Arial"/>
          <w:szCs w:val="20"/>
          <w:lang w:val="fr-FR"/>
        </w:rPr>
        <w:t xml:space="preserve"> </w:t>
      </w:r>
      <w:r w:rsidR="003D50BE" w:rsidRPr="004C28BB">
        <w:rPr>
          <w:rFonts w:cs="Arial"/>
          <w:szCs w:val="20"/>
          <w:lang w:val="fr-FR"/>
        </w:rPr>
        <w:t xml:space="preserve">DF </w:t>
      </w:r>
      <w:r w:rsidR="00A1742A" w:rsidRPr="004C28BB">
        <w:rPr>
          <w:rFonts w:cs="Arial"/>
          <w:szCs w:val="20"/>
          <w:lang w:val="fr-FR"/>
        </w:rPr>
        <w:t>(</w:t>
      </w:r>
      <w:r w:rsidRPr="004C28BB">
        <w:rPr>
          <w:rFonts w:cs="Arial"/>
          <w:szCs w:val="20"/>
          <w:lang w:val="fr-FR"/>
        </w:rPr>
        <w:t>±</w:t>
      </w:r>
      <w:r w:rsidR="006C395E" w:rsidRPr="004C28BB">
        <w:rPr>
          <w:rFonts w:cs="Arial"/>
          <w:szCs w:val="20"/>
          <w:lang w:val="fr-FR"/>
        </w:rPr>
        <w:t xml:space="preserve"> </w:t>
      </w:r>
      <w:r w:rsidRPr="004C28BB">
        <w:rPr>
          <w:rFonts w:cs="Arial"/>
          <w:szCs w:val="20"/>
          <w:lang w:val="fr-FR"/>
        </w:rPr>
        <w:t>21</w:t>
      </w:r>
      <w:r w:rsidR="0020366C" w:rsidRPr="004C28BB">
        <w:rPr>
          <w:rFonts w:cs="Arial"/>
          <w:szCs w:val="20"/>
          <w:lang w:val="fr-FR"/>
        </w:rPr>
        <w:t>5</w:t>
      </w:r>
      <w:r w:rsidRPr="004C28BB">
        <w:rPr>
          <w:rFonts w:cs="Arial"/>
          <w:szCs w:val="20"/>
          <w:lang w:val="fr-FR"/>
        </w:rPr>
        <w:t xml:space="preserve"> x 100 x 65</w:t>
      </w:r>
      <w:r w:rsidR="006C395E" w:rsidRPr="004C28BB">
        <w:rPr>
          <w:rFonts w:cs="Arial"/>
          <w:szCs w:val="20"/>
          <w:lang w:val="fr-FR"/>
        </w:rPr>
        <w:t xml:space="preserve"> </w:t>
      </w:r>
      <w:r w:rsidRPr="004C28BB">
        <w:rPr>
          <w:rFonts w:cs="Arial"/>
          <w:szCs w:val="20"/>
          <w:lang w:val="fr-FR"/>
        </w:rPr>
        <w:t>mm</w:t>
      </w:r>
      <w:r w:rsidR="00A1742A" w:rsidRPr="004C28BB">
        <w:rPr>
          <w:rFonts w:cs="Arial"/>
          <w:szCs w:val="20"/>
          <w:lang w:val="fr-FR"/>
        </w:rPr>
        <w:t>)</w:t>
      </w:r>
      <w:r w:rsidR="00325A04" w:rsidRPr="004C28BB">
        <w:rPr>
          <w:rFonts w:cs="Arial"/>
          <w:szCs w:val="20"/>
          <w:lang w:val="fr-FR"/>
        </w:rPr>
        <w:t xml:space="preserve"> </w:t>
      </w:r>
    </w:p>
    <w:p w14:paraId="3054B54B" w14:textId="282EA02E" w:rsidR="00C66D78" w:rsidRPr="0085319C" w:rsidRDefault="00B7007A" w:rsidP="00C66D78">
      <w:pPr>
        <w:rPr>
          <w:rFonts w:cs="Arial"/>
          <w:szCs w:val="20"/>
          <w:lang w:val="fr-FR"/>
        </w:rPr>
      </w:pPr>
      <w:r w:rsidRPr="0085319C">
        <w:rPr>
          <w:rFonts w:cs="Arial"/>
          <w:szCs w:val="20"/>
          <w:lang w:val="fr-FR"/>
        </w:rPr>
        <w:t xml:space="preserve">Critères de performance essentielles selon </w:t>
      </w:r>
      <w:r w:rsidR="00FE0F71" w:rsidRPr="0085319C">
        <w:rPr>
          <w:rFonts w:cs="Arial"/>
          <w:szCs w:val="20"/>
          <w:lang w:val="fr-FR"/>
        </w:rPr>
        <w:t xml:space="preserve">CE </w:t>
      </w:r>
      <w:r w:rsidR="00C66D78" w:rsidRPr="0085319C">
        <w:rPr>
          <w:rFonts w:cs="Arial"/>
          <w:szCs w:val="20"/>
          <w:lang w:val="fr-FR"/>
        </w:rPr>
        <w:t>EN 771-</w:t>
      </w:r>
      <w:proofErr w:type="gramStart"/>
      <w:r w:rsidR="00C66D78" w:rsidRPr="0085319C">
        <w:rPr>
          <w:rFonts w:cs="Arial"/>
          <w:szCs w:val="20"/>
          <w:lang w:val="fr-FR"/>
        </w:rPr>
        <w:t>1:</w:t>
      </w:r>
      <w:proofErr w:type="gramEnd"/>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79DEB73"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6F1F0C">
        <w:rPr>
          <w:rFonts w:cs="Arial"/>
          <w:szCs w:val="20"/>
        </w:rPr>
        <w:t>7</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3318C39C"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6F1F0C">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7BB1C33"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4035C2A5" w14:textId="0902CFC8" w:rsidR="004C28BB" w:rsidRDefault="004C28BB" w:rsidP="004C28BB">
      <w:pPr>
        <w:pStyle w:val="Lijstalinea"/>
        <w:spacing w:line="240" w:lineRule="auto"/>
        <w:ind w:left="720"/>
        <w:rPr>
          <w:rFonts w:cs="Arial"/>
          <w:szCs w:val="20"/>
        </w:rPr>
      </w:pPr>
    </w:p>
    <w:p w14:paraId="4BE9EC05" w14:textId="77777777" w:rsidR="00BD5705" w:rsidRPr="00FA5727" w:rsidRDefault="00BD5705" w:rsidP="004C28BB">
      <w:pPr>
        <w:pStyle w:val="Lijstalinea"/>
        <w:spacing w:line="240" w:lineRule="auto"/>
        <w:ind w:left="720"/>
        <w:rPr>
          <w:rFonts w:cs="Arial"/>
          <w:szCs w:val="20"/>
        </w:rPr>
      </w:pPr>
    </w:p>
    <w:p w14:paraId="68626FA7" w14:textId="380C05C4"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0552E8">
        <w:rPr>
          <w:rFonts w:cs="Arial"/>
          <w:szCs w:val="20"/>
          <w:lang w:val="en-US"/>
        </w:rPr>
        <w:t>6</w:t>
      </w:r>
      <w:r w:rsidR="006F1F0C">
        <w:rPr>
          <w:rFonts w:cs="Arial"/>
          <w:szCs w:val="20"/>
          <w:lang w:val="en-US"/>
        </w:rPr>
        <w:t>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7EB946B"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6F1F0C">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52152590" w14:textId="7C10D2B7" w:rsidR="004C28BB" w:rsidRPr="004C28BB" w:rsidRDefault="001363AB" w:rsidP="004C28BB">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6F1F0C">
        <w:rPr>
          <w:rFonts w:cs="Arial"/>
          <w:szCs w:val="20"/>
          <w:lang w:val="en-US"/>
        </w:rPr>
        <w:t>27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552E8"/>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28BB"/>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F1F0C"/>
    <w:rsid w:val="00713403"/>
    <w:rsid w:val="00714FA5"/>
    <w:rsid w:val="00744FBC"/>
    <w:rsid w:val="007748BA"/>
    <w:rsid w:val="007B693F"/>
    <w:rsid w:val="007C6538"/>
    <w:rsid w:val="007F2577"/>
    <w:rsid w:val="007F2F9B"/>
    <w:rsid w:val="007F3ED7"/>
    <w:rsid w:val="00815AEB"/>
    <w:rsid w:val="0083729C"/>
    <w:rsid w:val="0085319C"/>
    <w:rsid w:val="00897611"/>
    <w:rsid w:val="008A33DE"/>
    <w:rsid w:val="009001B6"/>
    <w:rsid w:val="00911203"/>
    <w:rsid w:val="00951E39"/>
    <w:rsid w:val="009563D7"/>
    <w:rsid w:val="009F51CE"/>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BD5705"/>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15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FA53F051-EBF3-438B-A938-EA51FF547CAA}"/>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2020-05-04T08:00:00Z</dcterms:created>
  <dcterms:modified xsi:type="dcterms:W3CDTF">2020-05-04T08:00:00Z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