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04C6" w14:textId="45D9ECC2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0214BB">
        <w:rPr>
          <w:rFonts w:asciiTheme="minorHAnsi" w:hAnsiTheme="minorHAnsi" w:cstheme="minorHAnsi"/>
          <w:color w:val="004D74"/>
          <w:sz w:val="28"/>
          <w:szCs w:val="28"/>
        </w:rPr>
        <w:t>55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0214BB">
        <w:rPr>
          <w:rFonts w:asciiTheme="minorHAnsi" w:hAnsiTheme="minorHAnsi" w:cstheme="minorHAnsi"/>
          <w:color w:val="004D74"/>
          <w:sz w:val="28"/>
          <w:szCs w:val="28"/>
        </w:rPr>
        <w:t>LIVORNO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CB4330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Kwartaire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637F79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r w:rsidR="000915F0">
        <w:rPr>
          <w:rFonts w:cs="Arial"/>
          <w:szCs w:val="20"/>
        </w:rPr>
        <w:t>impregnering.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2C17B83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00536C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46D0A697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37F79">
        <w:rPr>
          <w:rFonts w:cs="Arial"/>
          <w:szCs w:val="20"/>
        </w:rPr>
        <w:t>zwart</w:t>
      </w:r>
    </w:p>
    <w:p w14:paraId="4AB33AE7" w14:textId="4C71627A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637F79">
        <w:rPr>
          <w:rFonts w:cs="Arial"/>
          <w:szCs w:val="20"/>
        </w:rPr>
        <w:t>antraciet</w:t>
      </w:r>
      <w:r w:rsidR="005835C9">
        <w:rPr>
          <w:rFonts w:cs="Arial"/>
          <w:szCs w:val="20"/>
        </w:rPr>
        <w:t xml:space="preserve"> met donker</w:t>
      </w:r>
      <w:bookmarkStart w:id="0" w:name="_GoBack"/>
      <w:bookmarkEnd w:id="0"/>
      <w:r w:rsidR="005835C9">
        <w:rPr>
          <w:rFonts w:cs="Arial"/>
          <w:szCs w:val="20"/>
        </w:rPr>
        <w:t>blauwe nuances</w:t>
      </w:r>
    </w:p>
    <w:p w14:paraId="42F7217A" w14:textId="2513F9DA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/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0214BB">
        <w:rPr>
          <w:rFonts w:cs="Arial"/>
          <w:szCs w:val="20"/>
        </w:rPr>
        <w:t xml:space="preserve">  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02493B2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>wateropname: ≤ 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B352996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D793BE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637F79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W/mK</w:t>
      </w:r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5856833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warmetegeleidbaarheid 10, droog steen (90,90): 0,6</w:t>
      </w:r>
      <w:r w:rsidR="00637F79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W/m.K</w:t>
      </w:r>
    </w:p>
    <w:p w14:paraId="23623C20" w14:textId="20C0979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warmetegeleidbaarheid 10, droog steen (lambda Ui): 0,6</w:t>
      </w:r>
      <w:r w:rsidR="00637F79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W/m.K</w:t>
      </w:r>
    </w:p>
    <w:p w14:paraId="0AA96508" w14:textId="330551C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warmetegeleidbaarheid 10, droog steen (lambda Ue): 1,</w:t>
      </w:r>
      <w:r w:rsidR="00637F79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W/m.K</w:t>
      </w:r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>prestatieverklaring DoP</w:t>
      </w:r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DoP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dunbedmortel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0536C"/>
    <w:rsid w:val="000214BB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E5A61"/>
    <w:rsid w:val="005268C8"/>
    <w:rsid w:val="00526DD4"/>
    <w:rsid w:val="00551C66"/>
    <w:rsid w:val="00555FDF"/>
    <w:rsid w:val="005835C9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C483B7FD-86C4-4FAA-BD64-585B728D4009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ef7ec89-e9a7-4ad0-828a-4e7598e1c60b"/>
    <ds:schemaRef ds:uri="fc3d6be4-e267-4d4d-83f3-2f1cf3abea2f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2019-03-20T12:56:00Z</dcterms:created>
  <dcterms:modified xsi:type="dcterms:W3CDTF">2020-04-24T11:27:00Z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