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68E5" w14:textId="65646095"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xP+gEAAM4DAAAOAAAAZHJzL2Uyb0RvYy54bWysU11v2yAUfZ+0/4B4X2xHTj+sOFXXLtOk&#10;rpvU9QdgjGM04DIgsbNfvwt202h7q+YHBL7cc+8597C+GbUiB+G8BFPTYpFTIgyHVppdTZ9/bD9c&#10;UeIDMy1TYERNj8LTm837d+vBVmIJPahWOIIgxleDrWkfgq2yzPNeaOYXYIXBYAdOs4BHt8taxwZE&#10;1ypb5vlFNoBrrQMuvMe/91OQbhJ+1wkevnWdF4GommJvIa0urU1cs82aVTvHbC/53AZ7QxeaSYNF&#10;T1D3LDCyd/IfKC25Aw9dWHDQGXSd5CJxQDZF/hebp55ZkbigON6eZPL/D5Y/Hp7sd0fC+BFGHGAi&#10;4e0D8J+eGLjrmdmJW+dg6AVrsXARJcsG66s5NUrtKx9BmuErtDhktg+QgMbO6agK8iSIjgM4nkQX&#10;YyAcfy5XZVkWl5RwjBVlXl4s01gyVr2kW+fDZwGaxE1NHU41wbPDgw+xHVa9XInVDGylUmmyypCh&#10;pter5SolnEW0DGg8JXVNr/L4TVaILD+ZNiUHJtW0xwLKzLQj04lzGJsRL0b6DbRHFMDBZDB8ELjp&#10;wf2mZEBz1dT/2jMnKFFfDIp4XZRldGM6lKtLZEzceaQ5jzDDEaqmgZJpexeSgyNXb29R7K1MMrx2&#10;MveKpknqzAaPrjw/p1uvz3DzBwAA//8DAFBLAwQUAAYACAAAACEAL5WZh98AAAALAQAADwAAAGRy&#10;cy9kb3ducmV2LnhtbEyPy27CMBBF95X6D9ZU6g4cEgFRGgehCuiyLY26NvGQRMQP2Sakf9/pquxm&#10;NEd3zi03kx7YiD701ghYzBNgaBqretMKqL/2sxxYiNIoOViDAn4wwKZ6fChloezNfOJ4jC2jEBMK&#10;KaCL0RWch6ZDLcPcOjR0O1uvZaTVt1x5eaNwPfA0SVZcy97Qh046fO2wuRyvWoCL7rB+8+8f291+&#10;TOrvQ5327U6I56dp+wIs4hT/YfjTJ3WoyOlkr0YFNgiYLbIloTSscipFRJavU2AnQpdZCrwq+X2H&#10;6hcAAP//AwBQSwECLQAUAAYACAAAACEAtoM4kv4AAADhAQAAEwAAAAAAAAAAAAAAAAAAAAAAW0Nv&#10;bnRlbnRfVHlwZXNdLnhtbFBLAQItABQABgAIAAAAIQA4/SH/1gAAAJQBAAALAAAAAAAAAAAAAAAA&#10;AC8BAABfcmVscy8ucmVsc1BLAQItABQABgAIAAAAIQCiJZxP+gEAAM4DAAAOAAAAAAAAAAAAAAAA&#10;AC4CAABkcnMvZTJvRG9jLnhtbFBLAQItABQABgAIAAAAIQAvlZmH3wAAAAsBAAAPAAAAAAAAAAAA&#10;AAAAAFQEAABkcnMvZG93bnJldi54bWxQSwUGAAAAAAQABADzAAAAYA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F61D38">
        <w:rPr>
          <w:rFonts w:asciiTheme="minorHAnsi" w:hAnsiTheme="minorHAnsi" w:cstheme="minorHAnsi"/>
          <w:color w:val="004D74"/>
          <w:sz w:val="28"/>
          <w:szCs w:val="28"/>
          <w:lang w:val="en-US"/>
        </w:rPr>
        <w:t>68</w:t>
      </w:r>
      <w:r w:rsidRPr="00690FD3">
        <w:rPr>
          <w:rFonts w:asciiTheme="minorHAnsi" w:hAnsiTheme="minorHAnsi" w:cstheme="minorHAnsi"/>
          <w:color w:val="004D74"/>
          <w:sz w:val="28"/>
          <w:szCs w:val="28"/>
          <w:lang w:val="en-US"/>
        </w:rPr>
        <w:t xml:space="preserve">. </w:t>
      </w:r>
      <w:r w:rsidR="00F61D38">
        <w:rPr>
          <w:rFonts w:asciiTheme="minorHAnsi" w:hAnsiTheme="minorHAnsi" w:cstheme="minorHAnsi"/>
          <w:color w:val="004D74"/>
          <w:sz w:val="28"/>
          <w:szCs w:val="28"/>
          <w:lang w:val="en-US"/>
        </w:rPr>
        <w:t>SAFORA</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79B0DFF5" w14:textId="364EC6CD" w:rsidR="00172065" w:rsidRDefault="00172065" w:rsidP="00172065">
      <w:pPr>
        <w:widowControl/>
        <w:adjustRightInd w:val="0"/>
        <w:spacing w:before="0" w:line="360" w:lineRule="auto"/>
        <w:rPr>
          <w:rFonts w:eastAsiaTheme="minorHAnsi" w:cs="Arial"/>
          <w:szCs w:val="20"/>
          <w:lang w:val="en-US" w:eastAsia="en-US" w:bidi="ar-SA"/>
        </w:rPr>
      </w:pPr>
      <w:r w:rsidRPr="00172065">
        <w:rPr>
          <w:rFonts w:eastAsiaTheme="minorHAnsi" w:cs="Arial"/>
          <w:szCs w:val="20"/>
          <w:lang w:val="en-US" w:eastAsia="en-US" w:bidi="ar-SA"/>
        </w:rPr>
        <w:t xml:space="preserve">Les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principalement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fabriquées</w:t>
      </w:r>
      <w:proofErr w:type="spellEnd"/>
      <w:r w:rsidRPr="00172065">
        <w:rPr>
          <w:rFonts w:eastAsiaTheme="minorHAnsi" w:cs="Arial"/>
          <w:szCs w:val="20"/>
          <w:lang w:val="en-US" w:eastAsia="en-US" w:bidi="ar-SA"/>
        </w:rPr>
        <w:t xml:space="preserve"> au </w:t>
      </w:r>
      <w:proofErr w:type="spellStart"/>
      <w:r w:rsidRPr="00172065">
        <w:rPr>
          <w:rFonts w:eastAsiaTheme="minorHAnsi" w:cs="Arial"/>
          <w:szCs w:val="20"/>
          <w:lang w:val="en-US" w:eastAsia="en-US" w:bidi="ar-SA"/>
        </w:rPr>
        <w:t>départ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alluviales</w:t>
      </w:r>
      <w:proofErr w:type="spellEnd"/>
      <w:r w:rsidRPr="00172065">
        <w:rPr>
          <w:rFonts w:eastAsiaTheme="minorHAnsi" w:cs="Arial"/>
          <w:szCs w:val="20"/>
          <w:lang w:val="en-US" w:eastAsia="en-US" w:bidi="ar-SA"/>
        </w:rPr>
        <w:t xml:space="preserve"> issues d</w:t>
      </w:r>
      <w:r>
        <w:rPr>
          <w:rFonts w:eastAsiaTheme="minorHAnsi" w:cs="Arial"/>
          <w:szCs w:val="20"/>
          <w:lang w:val="en-US" w:eastAsia="en-US" w:bidi="ar-SA"/>
        </w:rPr>
        <w:t xml:space="preserve">u </w:t>
      </w:r>
      <w:proofErr w:type="spellStart"/>
      <w:r>
        <w:rPr>
          <w:rFonts w:eastAsiaTheme="minorHAnsi" w:cs="Arial"/>
          <w:szCs w:val="20"/>
          <w:lang w:val="en-US" w:eastAsia="en-US" w:bidi="ar-SA"/>
        </w:rPr>
        <w:t>secteur</w:t>
      </w:r>
      <w:proofErr w:type="spellEnd"/>
      <w:r>
        <w:rPr>
          <w:rFonts w:eastAsiaTheme="minorHAnsi" w:cs="Arial"/>
          <w:szCs w:val="20"/>
          <w:lang w:val="en-US" w:eastAsia="en-US" w:bidi="ar-SA"/>
        </w:rPr>
        <w:t xml:space="preserve"> Hedikhuizen, dans</w:t>
      </w:r>
      <w:r w:rsidRPr="00172065">
        <w:rPr>
          <w:rFonts w:eastAsiaTheme="minorHAnsi" w:cs="Arial"/>
          <w:szCs w:val="20"/>
          <w:lang w:val="en-US" w:eastAsia="en-US" w:bidi="ar-SA"/>
        </w:rPr>
        <w:t xml:space="preserve"> la zone de </w:t>
      </w:r>
      <w:proofErr w:type="spellStart"/>
      <w:r w:rsidRPr="00172065">
        <w:rPr>
          <w:rFonts w:eastAsiaTheme="minorHAnsi" w:cs="Arial"/>
          <w:szCs w:val="20"/>
          <w:lang w:val="en-US" w:eastAsia="en-US" w:bidi="ar-SA"/>
        </w:rPr>
        <w:t>gisement</w:t>
      </w:r>
      <w:proofErr w:type="spellEnd"/>
      <w:r w:rsidRPr="00172065">
        <w:rPr>
          <w:rFonts w:eastAsiaTheme="minorHAnsi" w:cs="Arial"/>
          <w:szCs w:val="20"/>
          <w:lang w:val="en-US" w:eastAsia="en-US" w:bidi="ar-SA"/>
        </w:rPr>
        <w:t xml:space="preserve"> de la Meuse. Le </w:t>
      </w:r>
      <w:proofErr w:type="spellStart"/>
      <w:r w:rsidRPr="00172065">
        <w:rPr>
          <w:rFonts w:eastAsiaTheme="minorHAnsi" w:cs="Arial"/>
          <w:szCs w:val="20"/>
          <w:lang w:val="en-US" w:eastAsia="en-US" w:bidi="ar-SA"/>
        </w:rPr>
        <w:t>fleuve</w:t>
      </w:r>
      <w:proofErr w:type="spellEnd"/>
      <w:r w:rsidRPr="00172065">
        <w:rPr>
          <w:rFonts w:eastAsiaTheme="minorHAnsi" w:cs="Arial"/>
          <w:szCs w:val="20"/>
          <w:lang w:val="en-US" w:eastAsia="en-US" w:bidi="ar-SA"/>
        </w:rPr>
        <w:t xml:space="preserve"> a</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érodé</w:t>
      </w:r>
      <w:proofErr w:type="spellEnd"/>
      <w:r w:rsidRPr="00172065">
        <w:rPr>
          <w:rFonts w:eastAsiaTheme="minorHAnsi" w:cs="Arial"/>
          <w:szCs w:val="20"/>
          <w:lang w:val="en-US" w:eastAsia="en-US" w:bidi="ar-SA"/>
        </w:rPr>
        <w:t xml:space="preserve"> les formation </w:t>
      </w:r>
      <w:proofErr w:type="spellStart"/>
      <w:r w:rsidRPr="00172065">
        <w:rPr>
          <w:rFonts w:eastAsiaTheme="minorHAnsi" w:cs="Arial"/>
          <w:szCs w:val="20"/>
          <w:lang w:val="en-US" w:eastAsia="en-US" w:bidi="ar-SA"/>
        </w:rPr>
        <w:t>rocheuses</w:t>
      </w:r>
      <w:proofErr w:type="spellEnd"/>
      <w:r w:rsidRPr="00172065">
        <w:rPr>
          <w:rFonts w:eastAsiaTheme="minorHAnsi" w:cs="Arial"/>
          <w:szCs w:val="20"/>
          <w:lang w:val="en-US" w:eastAsia="en-US" w:bidi="ar-SA"/>
        </w:rPr>
        <w:t xml:space="preserve"> des Ardennes et </w:t>
      </w:r>
      <w:proofErr w:type="spellStart"/>
      <w:r w:rsidRPr="00172065">
        <w:rPr>
          <w:rFonts w:eastAsiaTheme="minorHAnsi" w:cs="Arial"/>
          <w:szCs w:val="20"/>
          <w:lang w:val="en-US" w:eastAsia="en-US" w:bidi="ar-SA"/>
        </w:rPr>
        <w:t>emporté</w:t>
      </w:r>
      <w:proofErr w:type="spellEnd"/>
      <w:r w:rsidRPr="00172065">
        <w:rPr>
          <w:rFonts w:eastAsiaTheme="minorHAnsi" w:cs="Arial"/>
          <w:szCs w:val="20"/>
          <w:lang w:val="en-US" w:eastAsia="en-US" w:bidi="ar-SA"/>
        </w:rPr>
        <w:t xml:space="preserve"> les </w:t>
      </w:r>
      <w:proofErr w:type="spellStart"/>
      <w:r w:rsidRPr="00172065">
        <w:rPr>
          <w:rFonts w:eastAsiaTheme="minorHAnsi" w:cs="Arial"/>
          <w:szCs w:val="20"/>
          <w:lang w:val="en-US" w:eastAsia="en-US" w:bidi="ar-SA"/>
        </w:rPr>
        <w:t>matériaus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détritiques</w:t>
      </w:r>
      <w:proofErr w:type="spellEnd"/>
      <w:r w:rsidRPr="00172065">
        <w:rPr>
          <w:rFonts w:eastAsiaTheme="minorHAnsi" w:cs="Arial"/>
          <w:szCs w:val="20"/>
          <w:lang w:val="en-US" w:eastAsia="en-US" w:bidi="ar-SA"/>
        </w:rPr>
        <w:t xml:space="preserve">. Dans la </w:t>
      </w:r>
      <w:proofErr w:type="spellStart"/>
      <w:r w:rsidRPr="00172065">
        <w:rPr>
          <w:rFonts w:eastAsiaTheme="minorHAnsi" w:cs="Arial"/>
          <w:szCs w:val="20"/>
          <w:lang w:val="en-US" w:eastAsia="en-US" w:bidi="ar-SA"/>
        </w:rPr>
        <w:t>plaine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inondable</w:t>
      </w:r>
      <w:proofErr w:type="spellEnd"/>
      <w:r w:rsidRPr="00172065">
        <w:rPr>
          <w:rFonts w:eastAsiaTheme="minorHAnsi" w:cs="Arial"/>
          <w:szCs w:val="20"/>
          <w:lang w:val="en-US" w:eastAsia="en-US" w:bidi="ar-SA"/>
        </w:rPr>
        <w:t xml:space="preserve"> en aval, </w:t>
      </w:r>
      <w:proofErr w:type="spellStart"/>
      <w:r w:rsidRPr="00172065">
        <w:rPr>
          <w:rFonts w:eastAsiaTheme="minorHAnsi" w:cs="Arial"/>
          <w:szCs w:val="20"/>
          <w:lang w:val="en-US" w:eastAsia="en-US" w:bidi="ar-SA"/>
        </w:rPr>
        <w:t>ces</w:t>
      </w:r>
      <w:proofErr w:type="spellEnd"/>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sédiments</w:t>
      </w:r>
      <w:proofErr w:type="spellEnd"/>
      <w:r w:rsidRPr="00172065">
        <w:rPr>
          <w:rFonts w:eastAsiaTheme="minorHAnsi" w:cs="Arial"/>
          <w:szCs w:val="20"/>
          <w:lang w:val="en-US" w:eastAsia="en-US" w:bidi="ar-SA"/>
        </w:rPr>
        <w:t xml:space="preserve"> se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déposés</w:t>
      </w:r>
      <w:proofErr w:type="spellEnd"/>
      <w:r w:rsidRPr="00172065">
        <w:rPr>
          <w:rFonts w:eastAsiaTheme="minorHAnsi" w:cs="Arial"/>
          <w:szCs w:val="20"/>
          <w:lang w:val="en-US" w:eastAsia="en-US" w:bidi="ar-SA"/>
        </w:rPr>
        <w:t xml:space="preserve">. Le mélange </w:t>
      </w:r>
      <w:proofErr w:type="spellStart"/>
      <w:r w:rsidRPr="00172065">
        <w:rPr>
          <w:rFonts w:eastAsiaTheme="minorHAnsi" w:cs="Arial"/>
          <w:szCs w:val="20"/>
          <w:lang w:val="en-US" w:eastAsia="en-US" w:bidi="ar-SA"/>
        </w:rPr>
        <w:t>judicieux</w:t>
      </w:r>
      <w:proofErr w:type="spellEnd"/>
      <w:r w:rsidRPr="00172065">
        <w:rPr>
          <w:rFonts w:eastAsiaTheme="minorHAnsi" w:cs="Arial"/>
          <w:szCs w:val="20"/>
          <w:lang w:val="en-US" w:eastAsia="en-US" w:bidi="ar-SA"/>
        </w:rPr>
        <w:t xml:space="preserve"> de </w:t>
      </w:r>
      <w:proofErr w:type="spellStart"/>
      <w:r w:rsidRPr="00172065">
        <w:rPr>
          <w:rFonts w:eastAsiaTheme="minorHAnsi" w:cs="Arial"/>
          <w:szCs w:val="20"/>
          <w:lang w:val="en-US" w:eastAsia="en-US" w:bidi="ar-SA"/>
        </w:rPr>
        <w:t>ces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gisements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fournit</w:t>
      </w:r>
      <w:proofErr w:type="spellEnd"/>
      <w:r w:rsidRPr="00172065">
        <w:rPr>
          <w:rFonts w:eastAsiaTheme="minorHAnsi" w:cs="Arial"/>
          <w:szCs w:val="20"/>
          <w:lang w:val="en-US" w:eastAsia="en-US" w:bidi="ar-SA"/>
        </w:rPr>
        <w:t xml:space="preserve"> la matière première pour la production de</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faites</w:t>
      </w:r>
      <w:proofErr w:type="spellEnd"/>
      <w:r w:rsidRPr="00172065">
        <w:rPr>
          <w:rFonts w:eastAsiaTheme="minorHAnsi" w:cs="Arial"/>
          <w:szCs w:val="20"/>
          <w:lang w:val="en-US" w:eastAsia="en-US" w:bidi="ar-SA"/>
        </w:rPr>
        <w:t>-main.</w:t>
      </w:r>
    </w:p>
    <w:p w14:paraId="5E9C9754" w14:textId="77777777" w:rsidR="00172065" w:rsidRDefault="00172065" w:rsidP="00172065">
      <w:pPr>
        <w:widowControl/>
        <w:adjustRightInd w:val="0"/>
        <w:spacing w:before="0" w:line="360" w:lineRule="auto"/>
        <w:rPr>
          <w:rFonts w:eastAsiaTheme="minorHAnsi" w:cs="Arial"/>
          <w:szCs w:val="20"/>
          <w:lang w:val="en-US" w:eastAsia="en-US" w:bidi="ar-SA"/>
        </w:rPr>
      </w:pPr>
    </w:p>
    <w:p w14:paraId="6C900569" w14:textId="118CB8DC" w:rsidR="00A1742A" w:rsidRPr="00A1742A" w:rsidRDefault="00A1742A" w:rsidP="00172065">
      <w:pPr>
        <w:widowControl/>
        <w:adjustRightInd w:val="0"/>
        <w:spacing w:before="0" w:line="360" w:lineRule="auto"/>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172065">
      <w:pPr>
        <w:spacing w:line="360" w:lineRule="auto"/>
        <w:rPr>
          <w:rFonts w:cs="Arial"/>
          <w:szCs w:val="20"/>
          <w:lang w:val="fr-FR"/>
        </w:rPr>
      </w:pPr>
      <w:r w:rsidRPr="00A1742A">
        <w:rPr>
          <w:rFonts w:cs="Arial"/>
          <w:szCs w:val="20"/>
          <w:lang w:val="fr-FR"/>
        </w:rPr>
        <w:t>Texture de la surface: rugueuse et nervurée; sablée de 5 côtés</w:t>
      </w:r>
    </w:p>
    <w:p w14:paraId="7FB994CE" w14:textId="760EE02B" w:rsidR="00A1742A" w:rsidRPr="00A1742A" w:rsidRDefault="00A1742A" w:rsidP="00172065">
      <w:pPr>
        <w:spacing w:line="360" w:lineRule="auto"/>
        <w:rPr>
          <w:rFonts w:cs="Arial"/>
          <w:szCs w:val="20"/>
          <w:lang w:val="fr-FR"/>
        </w:rPr>
      </w:pPr>
      <w:r w:rsidRPr="00A1742A">
        <w:rPr>
          <w:rFonts w:cs="Arial"/>
          <w:szCs w:val="20"/>
          <w:lang w:val="fr-FR"/>
        </w:rPr>
        <w:t xml:space="preserve">Apparence: </w:t>
      </w:r>
      <w:r w:rsidR="006147D6">
        <w:rPr>
          <w:rFonts w:cs="Arial"/>
          <w:szCs w:val="20"/>
          <w:lang w:val="fr-FR"/>
        </w:rPr>
        <w:t>nuancée</w:t>
      </w:r>
    </w:p>
    <w:p w14:paraId="7E3ECFB4" w14:textId="024E3A28"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F75A0B">
        <w:rPr>
          <w:rFonts w:cs="Arial"/>
          <w:szCs w:val="20"/>
          <w:lang w:val="en-US"/>
        </w:rPr>
        <w:t>rouge</w:t>
      </w:r>
    </w:p>
    <w:p w14:paraId="54AA7122" w14:textId="0C6CB07E" w:rsidR="007B693F" w:rsidRPr="00F53EA2" w:rsidRDefault="00BD1E45" w:rsidP="00C66D78">
      <w:pPr>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r w:rsidR="00A944B2">
        <w:rPr>
          <w:rFonts w:cs="Arial"/>
          <w:szCs w:val="20"/>
          <w:lang w:val="en-US"/>
        </w:rPr>
        <w:t>rouge-</w:t>
      </w:r>
      <w:proofErr w:type="spellStart"/>
      <w:r w:rsidR="00F61D38">
        <w:rPr>
          <w:rFonts w:cs="Arial"/>
          <w:szCs w:val="20"/>
          <w:lang w:val="en-US"/>
        </w:rPr>
        <w:t>brun</w:t>
      </w:r>
      <w:proofErr w:type="spellEnd"/>
      <w:r w:rsidR="00A944B2">
        <w:rPr>
          <w:rFonts w:cs="Arial"/>
          <w:szCs w:val="20"/>
          <w:lang w:val="en-US"/>
        </w:rPr>
        <w:t xml:space="preserve"> avec des nuances </w:t>
      </w:r>
      <w:proofErr w:type="spellStart"/>
      <w:r w:rsidR="00A944B2">
        <w:rPr>
          <w:rFonts w:cs="Arial"/>
          <w:szCs w:val="20"/>
          <w:lang w:val="en-US"/>
        </w:rPr>
        <w:t>foncées</w:t>
      </w:r>
      <w:proofErr w:type="spellEnd"/>
    </w:p>
    <w:p w14:paraId="5265F5F7" w14:textId="724F7BD4" w:rsidR="00F61D38"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A944B2">
        <w:rPr>
          <w:rFonts w:cs="Arial"/>
          <w:szCs w:val="20"/>
          <w:lang w:val="en-US"/>
        </w:rPr>
        <w:t>W</w:t>
      </w:r>
      <w:r w:rsidR="006E7105">
        <w:rPr>
          <w:rFonts w:cs="Arial"/>
          <w:szCs w:val="20"/>
          <w:lang w:val="en-US"/>
        </w:rPr>
        <w:t>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w:t>
      </w:r>
      <w:r w:rsidR="003414CC">
        <w:rPr>
          <w:rFonts w:cs="Arial"/>
          <w:szCs w:val="20"/>
          <w:lang w:val="en-US"/>
        </w:rPr>
        <w:t>1</w:t>
      </w:r>
      <w:r w:rsidR="00A944B2">
        <w:rPr>
          <w:rFonts w:cs="Arial"/>
          <w:szCs w:val="20"/>
          <w:lang w:val="en-US"/>
        </w:rPr>
        <w:t>0</w:t>
      </w:r>
      <w:r w:rsidRPr="00A1742A">
        <w:rPr>
          <w:rFonts w:cs="Arial"/>
          <w:szCs w:val="20"/>
          <w:lang w:val="en-US"/>
        </w:rPr>
        <w:t xml:space="preserve"> x </w:t>
      </w:r>
      <w:r w:rsidR="006E7105">
        <w:rPr>
          <w:rFonts w:cs="Arial"/>
          <w:szCs w:val="20"/>
          <w:lang w:val="en-US"/>
        </w:rPr>
        <w:t>1</w:t>
      </w:r>
      <w:r w:rsidR="003414CC">
        <w:rPr>
          <w:rFonts w:cs="Arial"/>
          <w:szCs w:val="20"/>
          <w:lang w:val="en-US"/>
        </w:rPr>
        <w:t>00</w:t>
      </w:r>
      <w:r w:rsidRPr="00A1742A">
        <w:rPr>
          <w:rFonts w:cs="Arial"/>
          <w:szCs w:val="20"/>
          <w:lang w:val="en-US"/>
        </w:rPr>
        <w:t xml:space="preserve"> x </w:t>
      </w:r>
      <w:r w:rsidR="00A944B2">
        <w:rPr>
          <w:rFonts w:cs="Arial"/>
          <w:szCs w:val="20"/>
          <w:lang w:val="en-US"/>
        </w:rPr>
        <w:t>50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A944B2">
        <w:rPr>
          <w:rFonts w:cs="Arial"/>
          <w:szCs w:val="20"/>
          <w:lang w:val="en-US"/>
        </w:rPr>
        <w:t xml:space="preserve">/ </w:t>
      </w:r>
      <w:r w:rsidR="00F61D38">
        <w:rPr>
          <w:rFonts w:cs="Arial"/>
          <w:szCs w:val="20"/>
          <w:lang w:val="en-US"/>
        </w:rPr>
        <w:t>DF</w:t>
      </w:r>
      <w:r w:rsidR="00F61D38" w:rsidRPr="00A1742A">
        <w:rPr>
          <w:rFonts w:cs="Arial"/>
          <w:szCs w:val="20"/>
          <w:lang w:val="en-US"/>
        </w:rPr>
        <w:t xml:space="preserve"> (± </w:t>
      </w:r>
      <w:r w:rsidR="00F61D38">
        <w:rPr>
          <w:rFonts w:cs="Arial"/>
          <w:szCs w:val="20"/>
          <w:lang w:val="en-US"/>
        </w:rPr>
        <w:t>215</w:t>
      </w:r>
      <w:r w:rsidR="00F61D38" w:rsidRPr="00A1742A">
        <w:rPr>
          <w:rFonts w:cs="Arial"/>
          <w:szCs w:val="20"/>
          <w:lang w:val="en-US"/>
        </w:rPr>
        <w:t xml:space="preserve"> x </w:t>
      </w:r>
      <w:r w:rsidR="00F61D38">
        <w:rPr>
          <w:rFonts w:cs="Arial"/>
          <w:szCs w:val="20"/>
          <w:lang w:val="en-US"/>
        </w:rPr>
        <w:t>100</w:t>
      </w:r>
      <w:r w:rsidR="00F61D38" w:rsidRPr="00A1742A">
        <w:rPr>
          <w:rFonts w:cs="Arial"/>
          <w:szCs w:val="20"/>
          <w:lang w:val="en-US"/>
        </w:rPr>
        <w:t xml:space="preserve"> x </w:t>
      </w:r>
      <w:r w:rsidR="00F61D38">
        <w:rPr>
          <w:rFonts w:cs="Arial"/>
          <w:szCs w:val="20"/>
          <w:lang w:val="en-US"/>
        </w:rPr>
        <w:t>65</w:t>
      </w:r>
      <w:r w:rsidR="00F61D38" w:rsidRPr="00A1742A">
        <w:rPr>
          <w:rFonts w:cs="Arial"/>
          <w:szCs w:val="20"/>
          <w:lang w:val="en-US"/>
        </w:rPr>
        <w:t xml:space="preserve"> mm) </w:t>
      </w:r>
      <w:r w:rsidR="00F61D38">
        <w:rPr>
          <w:rFonts w:cs="Arial"/>
          <w:szCs w:val="20"/>
          <w:lang w:val="en-US"/>
        </w:rPr>
        <w:t>/</w:t>
      </w:r>
    </w:p>
    <w:p w14:paraId="42DAF03F" w14:textId="12F50111" w:rsidR="006147D6" w:rsidRPr="006B1E28" w:rsidRDefault="00A944B2" w:rsidP="006B1E28">
      <w:pPr>
        <w:spacing w:line="240" w:lineRule="auto"/>
        <w:rPr>
          <w:rFonts w:cs="Arial"/>
          <w:szCs w:val="20"/>
          <w:lang w:val="en-US"/>
        </w:rPr>
      </w:pPr>
      <w:r>
        <w:rPr>
          <w:rFonts w:cs="Arial"/>
          <w:szCs w:val="20"/>
          <w:lang w:val="en-US"/>
        </w:rPr>
        <w:t>LF40</w:t>
      </w:r>
      <w:r w:rsidR="00476511">
        <w:rPr>
          <w:rFonts w:cs="Arial"/>
          <w:szCs w:val="20"/>
          <w:lang w:val="en-US"/>
        </w:rPr>
        <w:t>-S</w:t>
      </w:r>
      <w:r w:rsidRPr="00A1742A">
        <w:rPr>
          <w:rFonts w:cs="Arial"/>
          <w:szCs w:val="20"/>
          <w:lang w:val="en-US"/>
        </w:rPr>
        <w:t xml:space="preserve"> (± </w:t>
      </w:r>
      <w:r>
        <w:rPr>
          <w:rFonts w:cs="Arial"/>
          <w:szCs w:val="20"/>
          <w:lang w:val="en-US"/>
        </w:rPr>
        <w:t>240</w:t>
      </w:r>
      <w:r w:rsidRPr="00A1742A">
        <w:rPr>
          <w:rFonts w:cs="Arial"/>
          <w:szCs w:val="20"/>
          <w:lang w:val="en-US"/>
        </w:rPr>
        <w:t xml:space="preserve"> x </w:t>
      </w:r>
      <w:r w:rsidR="00476511">
        <w:rPr>
          <w:rFonts w:cs="Arial"/>
          <w:szCs w:val="20"/>
          <w:lang w:val="en-US"/>
        </w:rPr>
        <w:t>75</w:t>
      </w:r>
      <w:r w:rsidRPr="00A1742A">
        <w:rPr>
          <w:rFonts w:cs="Arial"/>
          <w:szCs w:val="20"/>
          <w:lang w:val="en-US"/>
        </w:rPr>
        <w:t xml:space="preserve"> x </w:t>
      </w:r>
      <w:r>
        <w:rPr>
          <w:rFonts w:cs="Arial"/>
          <w:szCs w:val="20"/>
          <w:lang w:val="en-US"/>
        </w:rPr>
        <w:t>40</w:t>
      </w:r>
      <w:r w:rsidRPr="00A1742A">
        <w:rPr>
          <w:rFonts w:cs="Arial"/>
          <w:szCs w:val="20"/>
          <w:lang w:val="en-US"/>
        </w:rPr>
        <w:t xml:space="preserve"> mm)</w:t>
      </w:r>
      <w:r w:rsidR="00F61D38">
        <w:rPr>
          <w:rFonts w:cs="Arial"/>
          <w:szCs w:val="20"/>
          <w:lang w:val="en-US"/>
        </w:rPr>
        <w:t xml:space="preserve">  </w:t>
      </w:r>
      <w:r w:rsidRPr="00690FD3">
        <w:rPr>
          <w:rFonts w:cs="Arial"/>
          <w:i/>
          <w:szCs w:val="20"/>
          <w:lang w:val="en-US"/>
        </w:rPr>
        <w:t>(</w:t>
      </w:r>
      <w:proofErr w:type="spellStart"/>
      <w:r w:rsidRPr="00690FD3">
        <w:rPr>
          <w:rFonts w:cs="Arial"/>
          <w:i/>
          <w:szCs w:val="20"/>
          <w:lang w:val="en-US"/>
        </w:rPr>
        <w:t>supprimer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08DFC651" w:rsidR="00C66D78" w:rsidRPr="00B7007A" w:rsidRDefault="00B7007A" w:rsidP="00B1542E">
      <w:pPr>
        <w:pStyle w:val="Lijstalinea"/>
        <w:numPr>
          <w:ilvl w:val="0"/>
          <w:numId w:val="2"/>
        </w:numPr>
        <w:rPr>
          <w:rFonts w:cs="Arial"/>
          <w:szCs w:val="20"/>
          <w:lang w:val="en-US"/>
        </w:rPr>
      </w:pPr>
      <w:proofErr w:type="spellStart"/>
      <w:r>
        <w:rPr>
          <w:rFonts w:cs="Arial"/>
          <w:szCs w:val="20"/>
          <w:lang w:val="en-US"/>
        </w:rPr>
        <w:t>r</w:t>
      </w:r>
      <w:r w:rsidRPr="00B7007A">
        <w:rPr>
          <w:rFonts w:cs="Arial"/>
          <w:szCs w:val="20"/>
          <w:lang w:val="en-US"/>
        </w:rPr>
        <w:t>ésistance</w:t>
      </w:r>
      <w:proofErr w:type="spellEnd"/>
      <w:r w:rsidRPr="00B7007A">
        <w:rPr>
          <w:rFonts w:cs="Arial"/>
          <w:szCs w:val="20"/>
          <w:lang w:val="en-US"/>
        </w:rPr>
        <w:t xml:space="preserv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3414CC">
        <w:rPr>
          <w:rFonts w:cs="Arial"/>
          <w:szCs w:val="20"/>
          <w:lang w:val="en-US"/>
        </w:rPr>
        <w:t>1</w:t>
      </w:r>
      <w:r w:rsidR="00EA6D85">
        <w:rPr>
          <w:rFonts w:cs="Arial"/>
          <w:szCs w:val="20"/>
          <w:lang w:val="en-US"/>
        </w:rPr>
        <w:t>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0991C6D4"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3414CC">
        <w:rPr>
          <w:rFonts w:cs="Arial"/>
          <w:szCs w:val="20"/>
        </w:rPr>
        <w:t>5</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6ED9B70A"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719B8E0E"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3414CC">
        <w:rPr>
          <w:rFonts w:cs="Arial"/>
          <w:szCs w:val="20"/>
          <w:lang w:val="en-US"/>
        </w:rPr>
        <w:t>49</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7B8632E3"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3414CC">
        <w:rPr>
          <w:rFonts w:cs="Arial"/>
          <w:szCs w:val="20"/>
        </w:rPr>
        <w:t>4</w:t>
      </w:r>
      <w:r w:rsidR="005012A4" w:rsidRPr="005012A4">
        <w:rPr>
          <w:rFonts w:cs="Arial"/>
          <w:szCs w:val="20"/>
        </w:rPr>
        <w:t>,</w:t>
      </w:r>
      <w:r w:rsidR="003414CC">
        <w:rPr>
          <w:rFonts w:cs="Arial"/>
          <w:szCs w:val="20"/>
        </w:rPr>
        <w:t>0</w:t>
      </w:r>
      <w:r w:rsidR="005012A4" w:rsidRPr="005012A4">
        <w:rPr>
          <w:rFonts w:cs="Arial"/>
          <w:szCs w:val="20"/>
        </w:rPr>
        <w:t xml:space="preserve"> – </w:t>
      </w:r>
      <w:r w:rsidR="003414CC">
        <w:rPr>
          <w:rFonts w:cs="Arial"/>
          <w:szCs w:val="20"/>
        </w:rPr>
        <w:t>8</w:t>
      </w:r>
      <w:r w:rsidR="00172065">
        <w:rPr>
          <w:rFonts w:cs="Arial"/>
          <w:szCs w:val="20"/>
        </w:rPr>
        <w:t>,0</w:t>
      </w:r>
      <w:r w:rsidR="005012A4" w:rsidRPr="005012A4">
        <w:rPr>
          <w:rFonts w:cs="Arial"/>
          <w:szCs w:val="20"/>
        </w:rPr>
        <w:t xml:space="preserve"> kg/m</w:t>
      </w:r>
      <w:r w:rsidR="00C91A90" w:rsidRPr="005012A4">
        <w:rPr>
          <w:rFonts w:cs="Arial"/>
          <w:szCs w:val="20"/>
        </w:rPr>
        <w:t>².min</w:t>
      </w:r>
      <w:r w:rsidR="005012A4" w:rsidRPr="005012A4">
        <w:rPr>
          <w:rFonts w:cs="Arial"/>
          <w:szCs w:val="20"/>
        </w:rPr>
        <w:t xml:space="preserve"> (IW</w:t>
      </w:r>
      <w:r w:rsidR="003414CC">
        <w:rPr>
          <w:rFonts w:cs="Arial"/>
          <w:szCs w:val="20"/>
        </w:rPr>
        <w:t>4</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r w:rsidRPr="005C29D6">
        <w:rPr>
          <w:rFonts w:cs="Arial"/>
          <w:szCs w:val="20"/>
          <w:lang w:val="en-US"/>
        </w:rPr>
        <w:t>Cette</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55564331">
    <w:abstractNumId w:val="1"/>
  </w:num>
  <w:num w:numId="2" w16cid:durableId="874318115">
    <w:abstractNumId w:val="2"/>
  </w:num>
  <w:num w:numId="3" w16cid:durableId="1063676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14CC"/>
    <w:rsid w:val="00343EC2"/>
    <w:rsid w:val="00365717"/>
    <w:rsid w:val="00391FAB"/>
    <w:rsid w:val="003A4A80"/>
    <w:rsid w:val="003D50BE"/>
    <w:rsid w:val="00476511"/>
    <w:rsid w:val="004A2F34"/>
    <w:rsid w:val="004A6696"/>
    <w:rsid w:val="004C6316"/>
    <w:rsid w:val="004E5A61"/>
    <w:rsid w:val="005012A4"/>
    <w:rsid w:val="005268C8"/>
    <w:rsid w:val="00526DD4"/>
    <w:rsid w:val="00551C66"/>
    <w:rsid w:val="00555FDF"/>
    <w:rsid w:val="005819CB"/>
    <w:rsid w:val="00593F36"/>
    <w:rsid w:val="005A0406"/>
    <w:rsid w:val="005C29D6"/>
    <w:rsid w:val="006147D6"/>
    <w:rsid w:val="00637F79"/>
    <w:rsid w:val="006507D0"/>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24117"/>
    <w:rsid w:val="0082742A"/>
    <w:rsid w:val="0083729C"/>
    <w:rsid w:val="00853EB9"/>
    <w:rsid w:val="00897611"/>
    <w:rsid w:val="008A33DE"/>
    <w:rsid w:val="008B426A"/>
    <w:rsid w:val="008E1632"/>
    <w:rsid w:val="009001B6"/>
    <w:rsid w:val="00911203"/>
    <w:rsid w:val="00951E39"/>
    <w:rsid w:val="009563D7"/>
    <w:rsid w:val="00966D90"/>
    <w:rsid w:val="00990BEB"/>
    <w:rsid w:val="00A06FA9"/>
    <w:rsid w:val="00A1742A"/>
    <w:rsid w:val="00A447DC"/>
    <w:rsid w:val="00A777DE"/>
    <w:rsid w:val="00A921F8"/>
    <w:rsid w:val="00A944B2"/>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EA6D85"/>
    <w:rsid w:val="00F10A8D"/>
    <w:rsid w:val="00F144D2"/>
    <w:rsid w:val="00F2007B"/>
    <w:rsid w:val="00F354DD"/>
    <w:rsid w:val="00F430F0"/>
    <w:rsid w:val="00F43347"/>
    <w:rsid w:val="00F53EA2"/>
    <w:rsid w:val="00F61D38"/>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3214CBF11054285FDBC8C50F7F594" ma:contentTypeVersion="7" ma:contentTypeDescription="Een nieuw document maken." ma:contentTypeScope="" ma:versionID="c52068885ae7cb7ea5c646c759feeeb2">
  <xsd:schema xmlns:xsd="http://www.w3.org/2001/XMLSchema" xmlns:xs="http://www.w3.org/2001/XMLSchema" xmlns:p="http://schemas.microsoft.com/office/2006/metadata/properties" xmlns:ns2="def7ec89-e9a7-4ad0-828a-4e7598e1c60b" xmlns:ns3="fc3d6be4-e267-4d4d-83f3-2f1cf3abea2f" targetNamespace="http://schemas.microsoft.com/office/2006/metadata/properties" ma:root="true" ma:fieldsID="20a49e5d9a470bc02f63511bc142f198" ns2:_="" ns3:_="">
    <xsd:import namespace="def7ec89-e9a7-4ad0-828a-4e7598e1c60b"/>
    <xsd:import namespace="fc3d6be4-e267-4d4d-83f3-2f1cf3abea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7ec89-e9a7-4ad0-828a-4e7598e1c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6211E-1C10-413F-966E-C37A3C13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7ec89-e9a7-4ad0-828a-4e7598e1c60b"/>
    <ds:schemaRef ds:uri="fc3d6be4-e267-4d4d-83f3-2f1cf3abe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AB8C9-FCBD-41B2-A593-88DCB5F8EE8E}">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3914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3</cp:revision>
  <cp:lastPrinted>2019-03-07T16:01:00Z</cp:lastPrinted>
  <dcterms:created xsi:type="dcterms:W3CDTF">2020-05-04T11:56:00Z</dcterms:created>
  <dcterms:modified xsi:type="dcterms:W3CDTF">2023-02-20T15:53:00Z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0x01010011A3214CBF11054285FDBC8C50F7F594</vt:lpwstr>
  </property>
</Properties>
</file>