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10F742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>33</w:t>
      </w:r>
      <w:r w:rsidR="00937E53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937E53">
        <w:rPr>
          <w:rFonts w:asciiTheme="minorHAnsi" w:hAnsiTheme="minorHAnsi" w:cstheme="minorHAnsi"/>
          <w:color w:val="004D74"/>
          <w:sz w:val="28"/>
          <w:szCs w:val="28"/>
        </w:rPr>
        <w:t>LUPUS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14350E8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92B21">
        <w:rPr>
          <w:rFonts w:cs="Arial"/>
          <w:szCs w:val="20"/>
        </w:rPr>
        <w:t xml:space="preserve"> en </w:t>
      </w:r>
      <w:proofErr w:type="spellStart"/>
      <w:r w:rsidR="009E340E">
        <w:rPr>
          <w:rFonts w:cs="Arial"/>
          <w:szCs w:val="20"/>
        </w:rPr>
        <w:t>Hohenbusch</w:t>
      </w:r>
      <w:r w:rsidR="00832700">
        <w:rPr>
          <w:rFonts w:cs="Arial"/>
          <w:szCs w:val="20"/>
        </w:rPr>
        <w:t>klei</w:t>
      </w:r>
      <w:proofErr w:type="spellEnd"/>
      <w:r w:rsidR="00CE569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  <w:r w:rsidR="00832700">
        <w:rPr>
          <w:rFonts w:cs="Arial"/>
          <w:szCs w:val="20"/>
        </w:rPr>
        <w:t xml:space="preserve"> </w:t>
      </w:r>
      <w:r w:rsidR="00FD7536">
        <w:rPr>
          <w:rFonts w:cs="Arial"/>
          <w:szCs w:val="20"/>
        </w:rPr>
        <w:t>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</w:p>
    <w:p w14:paraId="54AA7122" w14:textId="00ACCA32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937E53">
        <w:rPr>
          <w:rFonts w:cs="Arial"/>
          <w:szCs w:val="20"/>
        </w:rPr>
        <w:t>grijs</w:t>
      </w:r>
      <w:r w:rsidR="009E340E">
        <w:rPr>
          <w:rFonts w:cs="Arial"/>
          <w:szCs w:val="20"/>
        </w:rPr>
        <w:t xml:space="preserve"> met donker</w:t>
      </w:r>
      <w:r w:rsidR="00937E53">
        <w:rPr>
          <w:rFonts w:cs="Arial"/>
          <w:szCs w:val="20"/>
        </w:rPr>
        <w:t>grijz</w:t>
      </w:r>
      <w:r w:rsidR="009E340E">
        <w:rPr>
          <w:rFonts w:cs="Arial"/>
          <w:szCs w:val="20"/>
        </w:rPr>
        <w:t>e</w:t>
      </w:r>
      <w:r w:rsidR="003332EA">
        <w:rPr>
          <w:rFonts w:cs="Arial"/>
          <w:szCs w:val="20"/>
        </w:rPr>
        <w:t xml:space="preserve">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  <w:bookmarkStart w:id="0" w:name="_GoBack"/>
      <w:bookmarkEnd w:id="0"/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5D292-246D-4F75-91EC-CD215960C010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http://purl.org/dc/elements/1.1/"/>
    <ds:schemaRef ds:uri="http://schemas.microsoft.com/office/2006/metadata/properties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2020-04-22T10:05:00Z</dcterms:created>
  <dcterms:modified xsi:type="dcterms:W3CDTF">2020-04-22T10:14:00Z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