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55C9731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DE27A4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="00932BB7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32BB7">
        <w:rPr>
          <w:rFonts w:asciiTheme="minorHAnsi" w:hAnsiTheme="minorHAnsi" w:cstheme="minorHAnsi"/>
          <w:color w:val="004D74"/>
          <w:sz w:val="28"/>
          <w:szCs w:val="28"/>
        </w:rPr>
        <w:t>ANSBACH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7DB78A77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 xml:space="preserve">De </w:t>
      </w:r>
      <w:proofErr w:type="spellStart"/>
      <w:r w:rsidRPr="00EB04AD">
        <w:rPr>
          <w:rFonts w:cs="Arial"/>
          <w:szCs w:val="20"/>
        </w:rPr>
        <w:t>aanwendig</w:t>
      </w:r>
      <w:proofErr w:type="spellEnd"/>
      <w:r w:rsidRPr="00EB04AD">
        <w:rPr>
          <w:rFonts w:cs="Arial"/>
          <w:szCs w:val="20"/>
        </w:rPr>
        <w:t xml:space="preserve"> van hoogwaardige </w:t>
      </w:r>
      <w:proofErr w:type="spellStart"/>
      <w:r w:rsidRPr="00EB04AD">
        <w:rPr>
          <w:rFonts w:cs="Arial"/>
          <w:szCs w:val="20"/>
        </w:rPr>
        <w:t>Oberlausitz</w:t>
      </w:r>
      <w:proofErr w:type="spellEnd"/>
      <w:r w:rsidRPr="00EB04AD">
        <w:rPr>
          <w:rFonts w:cs="Arial"/>
          <w:szCs w:val="20"/>
        </w:rPr>
        <w:t>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  <w:bookmarkStart w:id="0" w:name="_GoBack"/>
      <w:bookmarkEnd w:id="0"/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624ADAB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554E69">
        <w:rPr>
          <w:rFonts w:cs="Arial"/>
          <w:szCs w:val="20"/>
        </w:rPr>
        <w:t>genuanceerd</w:t>
      </w:r>
    </w:p>
    <w:p w14:paraId="7E3ECFB4" w14:textId="2849700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932BB7">
        <w:rPr>
          <w:rFonts w:cs="Arial"/>
          <w:szCs w:val="20"/>
        </w:rPr>
        <w:t>geel</w:t>
      </w:r>
    </w:p>
    <w:p w14:paraId="54AA7122" w14:textId="24CFE997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932BB7">
        <w:rPr>
          <w:rFonts w:cs="Arial"/>
          <w:szCs w:val="20"/>
        </w:rPr>
        <w:t>geel</w:t>
      </w:r>
      <w:r w:rsidR="00E34E29">
        <w:rPr>
          <w:rFonts w:cs="Arial"/>
          <w:szCs w:val="20"/>
        </w:rPr>
        <w:t xml:space="preserve"> </w:t>
      </w:r>
      <w:r w:rsidR="00EF70FF">
        <w:rPr>
          <w:rFonts w:cs="Arial"/>
          <w:szCs w:val="20"/>
        </w:rPr>
        <w:t xml:space="preserve">met </w:t>
      </w:r>
      <w:r w:rsidR="00E34E29">
        <w:rPr>
          <w:rFonts w:cs="Arial"/>
          <w:szCs w:val="20"/>
        </w:rPr>
        <w:t>lichtbruine</w:t>
      </w:r>
      <w:r w:rsidR="00EF70FF">
        <w:rPr>
          <w:rFonts w:cs="Arial"/>
          <w:szCs w:val="20"/>
        </w:rPr>
        <w:t xml:space="preserve"> en </w:t>
      </w:r>
      <w:r w:rsidR="00932BB7">
        <w:rPr>
          <w:rFonts w:cs="Arial"/>
          <w:szCs w:val="20"/>
        </w:rPr>
        <w:t>blauw</w:t>
      </w:r>
      <w:r w:rsidR="00EF70FF">
        <w:rPr>
          <w:rFonts w:cs="Arial"/>
          <w:szCs w:val="20"/>
        </w:rPr>
        <w:t>zwarte nuances</w:t>
      </w:r>
    </w:p>
    <w:p w14:paraId="5D83EA54" w14:textId="77777777" w:rsidR="00EF70FF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50E26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1</w:t>
      </w:r>
      <w:r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proofErr w:type="gramStart"/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  <w:lang w:val="nl-BE"/>
        </w:rPr>
        <w:t>/</w:t>
      </w:r>
      <w:proofErr w:type="gramEnd"/>
      <w:r w:rsidR="00350E26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</w:rPr>
        <w:t xml:space="preserve">NF </w:t>
      </w:r>
      <w:r w:rsidR="00350E26" w:rsidRPr="00C66D78">
        <w:rPr>
          <w:rFonts w:cs="Arial"/>
          <w:szCs w:val="20"/>
          <w:lang w:val="nl-BE"/>
        </w:rPr>
        <w:t>±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4</w:t>
      </w:r>
      <w:r w:rsidR="00350E26"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15</w:t>
      </w:r>
      <w:r w:rsidR="00350E26"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71</w:t>
      </w:r>
      <w:r w:rsidR="004E2A99">
        <w:rPr>
          <w:rFonts w:cs="Arial"/>
          <w:szCs w:val="20"/>
          <w:lang w:val="nl-BE"/>
        </w:rPr>
        <w:t xml:space="preserve"> mm</w:t>
      </w:r>
      <w:r w:rsidR="00350E26">
        <w:rPr>
          <w:rFonts w:cs="Arial"/>
          <w:szCs w:val="20"/>
          <w:lang w:val="nl-BE"/>
        </w:rPr>
        <w:t xml:space="preserve"> </w:t>
      </w:r>
      <w:r w:rsidR="004E2A99">
        <w:rPr>
          <w:rFonts w:cs="Arial"/>
          <w:szCs w:val="20"/>
          <w:lang w:val="nl-BE"/>
        </w:rPr>
        <w:t xml:space="preserve">/ </w:t>
      </w:r>
    </w:p>
    <w:p w14:paraId="42F7217A" w14:textId="094957D2" w:rsidR="000915F0" w:rsidRPr="00350E26" w:rsidRDefault="00350E26" w:rsidP="00C66D78">
      <w:r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9C2A7B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E2A99"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397E08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79A413C2" w14:textId="66E51730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50E26"/>
    <w:rsid w:val="00391FAB"/>
    <w:rsid w:val="003A4A80"/>
    <w:rsid w:val="003D50BE"/>
    <w:rsid w:val="004A2F34"/>
    <w:rsid w:val="004A6696"/>
    <w:rsid w:val="004E2A99"/>
    <w:rsid w:val="004E5A61"/>
    <w:rsid w:val="005012A4"/>
    <w:rsid w:val="005047AB"/>
    <w:rsid w:val="005268C8"/>
    <w:rsid w:val="00526DD4"/>
    <w:rsid w:val="00551C66"/>
    <w:rsid w:val="00554E69"/>
    <w:rsid w:val="00555FDF"/>
    <w:rsid w:val="005A0406"/>
    <w:rsid w:val="00637F79"/>
    <w:rsid w:val="006507D0"/>
    <w:rsid w:val="00673B57"/>
    <w:rsid w:val="0068729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32BB7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DE27A4"/>
    <w:rsid w:val="00E34E29"/>
    <w:rsid w:val="00E5273A"/>
    <w:rsid w:val="00EA08C2"/>
    <w:rsid w:val="00EB04AD"/>
    <w:rsid w:val="00EB0DEF"/>
    <w:rsid w:val="00EF70F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F6609C72-4CB1-492C-A4A4-399979BBF635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c3d6be4-e267-4d4d-83f3-2f1cf3abea2f"/>
    <ds:schemaRef ds:uri="http://purl.org/dc/elements/1.1/"/>
    <ds:schemaRef ds:uri="http://schemas.microsoft.com/office/2006/metadata/properties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2020-05-05T07:16:00Z</dcterms:created>
  <dcterms:modified xsi:type="dcterms:W3CDTF">2020-05-05T07:16:00Z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